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3" w:rsidRPr="00384EB6" w:rsidRDefault="00047603" w:rsidP="00047603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</w:pPr>
      <w:proofErr w:type="gramStart"/>
      <w:r w:rsidRPr="00384EB6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>Diablo</w:t>
      </w:r>
      <w:r w:rsidRPr="00384EB6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 (1996, PC), Blizzard.</w:t>
      </w:r>
      <w:proofErr w:type="gramEnd"/>
      <w:r w:rsidRPr="00384EB6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 xml:space="preserve"> </w:t>
      </w:r>
      <w:r w:rsidR="00DF284A" w:rsidRPr="00384EB6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en-CA"/>
        </w:rPr>
        <w:t>GAMEPLAY – INVENTORY OPEN</w:t>
      </w:r>
    </w:p>
    <w:p w:rsidR="00FF47B3" w:rsidRPr="00384EB6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CA"/>
        </w:rPr>
      </w:pPr>
    </w:p>
    <w:tbl>
      <w:tblPr>
        <w:tblStyle w:val="TableGrid"/>
        <w:tblW w:w="10349" w:type="dxa"/>
        <w:tblInd w:w="-318" w:type="dxa"/>
        <w:tblLook w:val="04A0"/>
      </w:tblPr>
      <w:tblGrid>
        <w:gridCol w:w="10349"/>
      </w:tblGrid>
      <w:tr w:rsidR="00EF1011" w:rsidRPr="00384EB6" w:rsidTr="00286166">
        <w:tc>
          <w:tcPr>
            <w:tcW w:w="10349" w:type="dxa"/>
          </w:tcPr>
          <w:p w:rsidR="00EF1011" w:rsidRPr="00384EB6" w:rsidRDefault="00EF1011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84EB6">
              <w:rPr>
                <w:sz w:val="32"/>
                <w:szCs w:val="32"/>
                <w:lang w:val="en-CA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page" w:tblpX="6703" w:tblpY="6"/>
        <w:tblW w:w="4786" w:type="dxa"/>
        <w:tblLook w:val="04A0"/>
      </w:tblPr>
      <w:tblGrid>
        <w:gridCol w:w="1809"/>
        <w:gridCol w:w="2977"/>
      </w:tblGrid>
      <w:tr w:rsidR="00A57FA0" w:rsidRPr="00384EB6" w:rsidTr="008B47C9">
        <w:trPr>
          <w:trHeight w:val="1128"/>
        </w:trPr>
        <w:tc>
          <w:tcPr>
            <w:tcW w:w="1809" w:type="dxa"/>
          </w:tcPr>
          <w:p w:rsidR="00A57FA0" w:rsidRPr="00384EB6" w:rsidRDefault="00A57FA0" w:rsidP="00A57FA0">
            <w:pPr>
              <w:contextualSpacing/>
              <w:rPr>
                <w:b/>
                <w:noProof/>
                <w:color w:val="FF0000"/>
                <w:lang w:val="en-CA"/>
              </w:rPr>
            </w:pPr>
            <w:r w:rsidRPr="00384EB6">
              <w:rPr>
                <w:b/>
                <w:noProof/>
                <w:color w:val="FF0000"/>
                <w:lang w:val="en-CA"/>
              </w:rPr>
              <w:t>Tangible space</w:t>
            </w:r>
          </w:p>
        </w:tc>
        <w:tc>
          <w:tcPr>
            <w:tcW w:w="2977" w:type="dxa"/>
          </w:tcPr>
          <w:p w:rsidR="00A57FA0" w:rsidRPr="008B47C9" w:rsidRDefault="007B2925" w:rsidP="008B47C9">
            <w:pPr>
              <w:contextualSpacing/>
              <w:rPr>
                <w:noProof/>
                <w:lang w:val="en-CA"/>
              </w:rPr>
            </w:pPr>
            <w:r w:rsidRPr="00384EB6">
              <w:rPr>
                <w:noProof/>
                <w:lang w:val="en-CA"/>
              </w:rPr>
              <w:t xml:space="preserve">In this specific configuration, tangible space occupies a little more </w:t>
            </w:r>
            <w:r w:rsidR="004F372E">
              <w:rPr>
                <w:noProof/>
                <w:lang w:val="en-CA"/>
              </w:rPr>
              <w:t xml:space="preserve">than </w:t>
            </w:r>
            <w:r w:rsidRPr="00384EB6">
              <w:rPr>
                <w:noProof/>
                <w:lang w:val="en-CA"/>
              </w:rPr>
              <w:t>one third of the screen</w:t>
            </w:r>
            <w:r w:rsidR="008B47C9">
              <w:rPr>
                <w:noProof/>
                <w:lang w:val="en-CA"/>
              </w:rPr>
              <w:t xml:space="preserve">, and feels like it may extend to less tangible objects </w:t>
            </w:r>
            <w:r w:rsidR="008B47C9" w:rsidRPr="008B47C9">
              <w:rPr>
                <w:noProof/>
                <w:sz w:val="18"/>
                <w:szCs w:val="18"/>
                <w:lang w:val="en-CA"/>
              </w:rPr>
              <w:t>(see notes)</w:t>
            </w:r>
            <w:r w:rsidR="008B47C9">
              <w:rPr>
                <w:noProof/>
                <w:lang w:val="en-CA"/>
              </w:rPr>
              <w:t>.</w:t>
            </w:r>
          </w:p>
        </w:tc>
      </w:tr>
      <w:tr w:rsidR="00A57FA0" w:rsidRPr="00384EB6" w:rsidTr="008B47C9">
        <w:trPr>
          <w:trHeight w:val="1124"/>
        </w:trPr>
        <w:tc>
          <w:tcPr>
            <w:tcW w:w="1809" w:type="dxa"/>
          </w:tcPr>
          <w:p w:rsidR="00A57FA0" w:rsidRPr="00384EB6" w:rsidRDefault="00A57FA0" w:rsidP="00A57FA0">
            <w:pPr>
              <w:contextualSpacing/>
              <w:rPr>
                <w:b/>
                <w:noProof/>
                <w:color w:val="E36C0A" w:themeColor="accent6" w:themeShade="BF"/>
                <w:lang w:val="en-CA"/>
              </w:rPr>
            </w:pPr>
            <w:r w:rsidRPr="00384EB6">
              <w:rPr>
                <w:b/>
                <w:noProof/>
                <w:color w:val="E36C0A" w:themeColor="accent6" w:themeShade="BF"/>
                <w:lang w:val="en-CA"/>
              </w:rPr>
              <w:t>Intangible space</w:t>
            </w:r>
          </w:p>
        </w:tc>
        <w:tc>
          <w:tcPr>
            <w:tcW w:w="2977" w:type="dxa"/>
          </w:tcPr>
          <w:p w:rsidR="00A57FA0" w:rsidRPr="00384EB6" w:rsidRDefault="007B2925" w:rsidP="004F372E">
            <w:pPr>
              <w:contextualSpacing/>
              <w:rPr>
                <w:noProof/>
                <w:lang w:val="en-CA"/>
              </w:rPr>
            </w:pPr>
            <w:r w:rsidRPr="00384EB6">
              <w:rPr>
                <w:noProof/>
                <w:lang w:val="en-CA"/>
              </w:rPr>
              <w:t xml:space="preserve">Intangible space is scattered </w:t>
            </w:r>
            <w:r w:rsidR="004F372E">
              <w:rPr>
                <w:noProof/>
                <w:lang w:val="en-CA"/>
              </w:rPr>
              <w:t>around</w:t>
            </w:r>
            <w:r w:rsidRPr="00384EB6">
              <w:rPr>
                <w:noProof/>
                <w:lang w:val="en-CA"/>
              </w:rPr>
              <w:t xml:space="preserve"> </w:t>
            </w:r>
            <w:r w:rsidR="004F372E">
              <w:rPr>
                <w:noProof/>
                <w:lang w:val="en-CA"/>
              </w:rPr>
              <w:t xml:space="preserve">the screen, but clearly out </w:t>
            </w:r>
            <w:r w:rsidRPr="00384EB6">
              <w:rPr>
                <w:noProof/>
                <w:lang w:val="en-CA"/>
              </w:rPr>
              <w:t>of the tangible space.</w:t>
            </w:r>
          </w:p>
        </w:tc>
      </w:tr>
      <w:tr w:rsidR="00A57FA0" w:rsidRPr="00384EB6" w:rsidTr="008B47C9">
        <w:trPr>
          <w:trHeight w:val="1195"/>
        </w:trPr>
        <w:tc>
          <w:tcPr>
            <w:tcW w:w="1809" w:type="dxa"/>
          </w:tcPr>
          <w:p w:rsidR="00A57FA0" w:rsidRPr="00384EB6" w:rsidRDefault="006171D1" w:rsidP="008B47C9">
            <w:pPr>
              <w:contextualSpacing/>
              <w:rPr>
                <w:b/>
                <w:noProof/>
                <w:color w:val="002060"/>
                <w:lang w:val="en-CA"/>
              </w:rPr>
            </w:pPr>
            <w:r w:rsidRPr="00384EB6">
              <w:rPr>
                <w:b/>
                <w:noProof/>
                <w:color w:val="002060"/>
                <w:lang w:val="en-CA"/>
              </w:rPr>
              <w:t xml:space="preserve">Negative </w:t>
            </w:r>
            <w:r w:rsidR="008B47C9">
              <w:rPr>
                <w:b/>
                <w:noProof/>
                <w:color w:val="002060"/>
                <w:lang w:val="en-CA"/>
              </w:rPr>
              <w:t>s</w:t>
            </w:r>
            <w:r w:rsidRPr="00384EB6">
              <w:rPr>
                <w:b/>
                <w:noProof/>
                <w:color w:val="002060"/>
                <w:lang w:val="en-CA"/>
              </w:rPr>
              <w:t>pace</w:t>
            </w:r>
          </w:p>
        </w:tc>
        <w:tc>
          <w:tcPr>
            <w:tcW w:w="2977" w:type="dxa"/>
          </w:tcPr>
          <w:p w:rsidR="00A57FA0" w:rsidRPr="00384EB6" w:rsidRDefault="004F372E" w:rsidP="004F372E">
            <w:pPr>
              <w:contextualSpacing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>H</w:t>
            </w:r>
            <w:r w:rsidR="007B2925" w:rsidRPr="00384EB6">
              <w:rPr>
                <w:noProof/>
                <w:lang w:val="en-CA"/>
              </w:rPr>
              <w:t>eavily orn</w:t>
            </w:r>
            <w:r>
              <w:rPr>
                <w:noProof/>
                <w:lang w:val="en-CA"/>
              </w:rPr>
              <w:t>a</w:t>
            </w:r>
            <w:r w:rsidR="007B2925" w:rsidRPr="00384EB6">
              <w:rPr>
                <w:noProof/>
                <w:lang w:val="en-CA"/>
              </w:rPr>
              <w:t xml:space="preserve">mented, patching every pixel that has no </w:t>
            </w:r>
            <w:r>
              <w:rPr>
                <w:noProof/>
                <w:lang w:val="en-CA"/>
              </w:rPr>
              <w:t>ergodic value. I</w:t>
            </w:r>
            <w:r w:rsidR="00384EB6">
              <w:rPr>
                <w:noProof/>
                <w:lang w:val="en-CA"/>
              </w:rPr>
              <w:t>ntangible icons and menus are soaked in its mimetism.</w:t>
            </w:r>
          </w:p>
        </w:tc>
      </w:tr>
    </w:tbl>
    <w:p w:rsidR="00286166" w:rsidRPr="00384EB6" w:rsidRDefault="00384EB6" w:rsidP="00744F9A">
      <w:pPr>
        <w:spacing w:line="240" w:lineRule="auto"/>
        <w:ind w:left="-426"/>
        <w:contextualSpacing/>
        <w:rPr>
          <w:noProof/>
          <w:lang w:val="en-CA"/>
        </w:rPr>
      </w:pPr>
      <w:r>
        <w:rPr>
          <w:noProof/>
          <w:lang w:val="en-US" w:eastAsia="en-US"/>
        </w:rPr>
        <w:drawing>
          <wp:inline distT="0" distB="0" distL="0" distR="0">
            <wp:extent cx="3453653" cy="2552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53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/>
      </w:tblPr>
      <w:tblGrid>
        <w:gridCol w:w="10349"/>
      </w:tblGrid>
      <w:tr w:rsidR="00FF47B3" w:rsidRPr="00384EB6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2833" w:type="pct"/>
              <w:tblLook w:val="04A0"/>
            </w:tblPr>
            <w:tblGrid>
              <w:gridCol w:w="2127"/>
              <w:gridCol w:w="3609"/>
            </w:tblGrid>
            <w:tr w:rsidR="008C65BB" w:rsidRPr="00384EB6" w:rsidTr="002936AB">
              <w:trPr>
                <w:trHeight w:val="417"/>
              </w:trPr>
              <w:tc>
                <w:tcPr>
                  <w:tcW w:w="1854" w:type="pct"/>
                </w:tcPr>
                <w:p w:rsidR="008C65BB" w:rsidRPr="00384EB6" w:rsidRDefault="007B2925" w:rsidP="008C65BB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 w:rsidRPr="00384EB6">
                    <w:rPr>
                      <w:sz w:val="24"/>
                      <w:szCs w:val="24"/>
                      <w:lang w:val="en-CA"/>
                    </w:rPr>
                    <w:t>External</w:t>
                  </w:r>
                </w:p>
              </w:tc>
              <w:tc>
                <w:tcPr>
                  <w:tcW w:w="3146" w:type="pct"/>
                </w:tcPr>
                <w:p w:rsidR="008C65BB" w:rsidRPr="00384EB6" w:rsidRDefault="002936AB" w:rsidP="0037102C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Zero Ergodic</w:t>
                  </w:r>
                </w:p>
              </w:tc>
            </w:tr>
          </w:tbl>
          <w:p w:rsidR="00FF47B3" w:rsidRPr="00384EB6" w:rsidRDefault="000C3AFD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84EB6">
              <w:rPr>
                <w:sz w:val="32"/>
                <w:szCs w:val="32"/>
                <w:lang w:val="en-CA"/>
              </w:rPr>
              <w:t xml:space="preserve">2. </w:t>
            </w:r>
            <w:proofErr w:type="spellStart"/>
            <w:r w:rsidRPr="00384EB6">
              <w:rPr>
                <w:sz w:val="32"/>
                <w:szCs w:val="32"/>
                <w:lang w:val="en-CA"/>
              </w:rPr>
              <w:t>Ocularizatio</w:t>
            </w:r>
            <w:r w:rsidR="002936AB">
              <w:rPr>
                <w:sz w:val="32"/>
                <w:szCs w:val="32"/>
                <w:lang w:val="en-CA"/>
              </w:rPr>
              <w:t>n</w:t>
            </w:r>
            <w:proofErr w:type="spellEnd"/>
            <w:r w:rsidR="002936AB">
              <w:rPr>
                <w:sz w:val="32"/>
                <w:szCs w:val="32"/>
                <w:lang w:val="en-CA"/>
              </w:rPr>
              <w:t xml:space="preserve"> </w:t>
            </w:r>
            <w:r w:rsidR="002936AB" w:rsidRPr="002936AB">
              <w:rPr>
                <w:sz w:val="24"/>
                <w:szCs w:val="24"/>
                <w:lang w:val="en-CA"/>
              </w:rPr>
              <w:t>(tangible space)</w:t>
            </w:r>
          </w:p>
        </w:tc>
      </w:tr>
    </w:tbl>
    <w:p w:rsidR="0046717C" w:rsidRPr="00384EB6" w:rsidRDefault="00A57FA0" w:rsidP="00A57FA0">
      <w:pPr>
        <w:spacing w:line="240" w:lineRule="auto"/>
        <w:ind w:left="-426"/>
        <w:contextualSpacing/>
        <w:rPr>
          <w:sz w:val="16"/>
          <w:szCs w:val="16"/>
          <w:lang w:val="en-CA"/>
        </w:rPr>
      </w:pPr>
      <w:r w:rsidRPr="00384EB6">
        <w:rPr>
          <w:sz w:val="16"/>
          <w:szCs w:val="16"/>
          <w:lang w:val="en-CA"/>
        </w:rPr>
        <w:t xml:space="preserve">    </w:t>
      </w:r>
      <w:r w:rsidR="00836872" w:rsidRPr="00384EB6">
        <w:rPr>
          <w:sz w:val="16"/>
          <w:szCs w:val="16"/>
          <w:lang w:val="en-CA"/>
        </w:rPr>
        <w:t xml:space="preserve">                            </w:t>
      </w:r>
    </w:p>
    <w:tbl>
      <w:tblPr>
        <w:tblStyle w:val="TableGrid"/>
        <w:tblW w:w="10349" w:type="dxa"/>
        <w:tblInd w:w="-318" w:type="dxa"/>
        <w:tblLook w:val="04A0"/>
      </w:tblPr>
      <w:tblGrid>
        <w:gridCol w:w="3545"/>
        <w:gridCol w:w="3260"/>
        <w:gridCol w:w="3544"/>
      </w:tblGrid>
      <w:tr w:rsidR="0046717C" w:rsidRPr="00384EB6" w:rsidTr="00107890">
        <w:trPr>
          <w:trHeight w:val="214"/>
        </w:trPr>
        <w:tc>
          <w:tcPr>
            <w:tcW w:w="3545" w:type="dxa"/>
          </w:tcPr>
          <w:p w:rsidR="0046717C" w:rsidRPr="00384EB6" w:rsidRDefault="0046717C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84EB6">
              <w:rPr>
                <w:sz w:val="32"/>
                <w:szCs w:val="32"/>
                <w:lang w:val="en-CA"/>
              </w:rPr>
              <w:t>3. Framing mechanisms</w:t>
            </w:r>
          </w:p>
        </w:tc>
        <w:tc>
          <w:tcPr>
            <w:tcW w:w="3260" w:type="dxa"/>
          </w:tcPr>
          <w:p w:rsidR="0046717C" w:rsidRPr="00384EB6" w:rsidRDefault="0046717C" w:rsidP="00D75F52">
            <w:pPr>
              <w:contextualSpacing/>
              <w:rPr>
                <w:sz w:val="24"/>
                <w:szCs w:val="24"/>
                <w:lang w:val="en-CA"/>
              </w:rPr>
            </w:pPr>
            <w:r w:rsidRPr="00384EB6">
              <w:rPr>
                <w:b/>
                <w:sz w:val="24"/>
                <w:szCs w:val="24"/>
                <w:lang w:val="en-CA"/>
              </w:rPr>
              <w:t xml:space="preserve">Anchor : </w:t>
            </w:r>
            <w:r w:rsidR="00CA5FD4">
              <w:rPr>
                <w:b/>
                <w:sz w:val="24"/>
                <w:szCs w:val="24"/>
                <w:lang w:val="en-CA"/>
              </w:rPr>
              <w:t xml:space="preserve">      </w:t>
            </w:r>
            <w:r w:rsidR="00CA5FD4" w:rsidRPr="00CA5FD4">
              <w:rPr>
                <w:sz w:val="24"/>
                <w:szCs w:val="24"/>
                <w:lang w:val="en-CA"/>
              </w:rPr>
              <w:t>Subjective</w:t>
            </w:r>
          </w:p>
        </w:tc>
        <w:tc>
          <w:tcPr>
            <w:tcW w:w="3544" w:type="dxa"/>
          </w:tcPr>
          <w:p w:rsidR="0046717C" w:rsidRPr="00CA5FD4" w:rsidRDefault="0046717C" w:rsidP="00D75F52">
            <w:pPr>
              <w:contextualSpacing/>
              <w:rPr>
                <w:lang w:val="en-CA"/>
              </w:rPr>
            </w:pPr>
            <w:r w:rsidRPr="00384EB6">
              <w:rPr>
                <w:b/>
                <w:lang w:val="en-CA"/>
              </w:rPr>
              <w:t>Mobility :</w:t>
            </w:r>
            <w:r w:rsidR="00E12709" w:rsidRPr="00384EB6">
              <w:rPr>
                <w:b/>
                <w:lang w:val="en-CA"/>
              </w:rPr>
              <w:t xml:space="preserve"> </w:t>
            </w:r>
            <w:r w:rsidR="00CA5FD4">
              <w:rPr>
                <w:lang w:val="en-CA"/>
              </w:rPr>
              <w:t xml:space="preserve">      Connected</w:t>
            </w:r>
          </w:p>
        </w:tc>
      </w:tr>
    </w:tbl>
    <w:p w:rsidR="0046717C" w:rsidRPr="00384EB6" w:rsidRDefault="0046717C" w:rsidP="00744F9A">
      <w:pPr>
        <w:spacing w:line="240" w:lineRule="auto"/>
        <w:ind w:left="-426"/>
        <w:contextualSpacing/>
        <w:rPr>
          <w:sz w:val="16"/>
          <w:szCs w:val="16"/>
          <w:lang w:val="en-CA"/>
        </w:rPr>
      </w:pPr>
    </w:p>
    <w:tbl>
      <w:tblPr>
        <w:tblStyle w:val="TableGrid"/>
        <w:tblW w:w="10359" w:type="dxa"/>
        <w:tblInd w:w="-318" w:type="dxa"/>
        <w:tblLook w:val="04A0"/>
      </w:tblPr>
      <w:tblGrid>
        <w:gridCol w:w="10359"/>
      </w:tblGrid>
      <w:tr w:rsidR="0084181F" w:rsidRPr="00384EB6" w:rsidTr="0046717C">
        <w:tc>
          <w:tcPr>
            <w:tcW w:w="10359" w:type="dxa"/>
          </w:tcPr>
          <w:p w:rsidR="0084181F" w:rsidRPr="00384EB6" w:rsidRDefault="0084181F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84EB6">
              <w:rPr>
                <w:sz w:val="32"/>
                <w:szCs w:val="32"/>
                <w:lang w:val="en-CA"/>
              </w:rPr>
              <w:t xml:space="preserve">4. </w:t>
            </w:r>
            <w:r w:rsidR="00BD261D" w:rsidRPr="00384EB6">
              <w:rPr>
                <w:sz w:val="32"/>
                <w:szCs w:val="32"/>
                <w:lang w:val="en-CA"/>
              </w:rPr>
              <w:t>Plane Analysis</w:t>
            </w:r>
          </w:p>
          <w:tbl>
            <w:tblPr>
              <w:tblStyle w:val="TableGrid"/>
              <w:tblW w:w="10133" w:type="dxa"/>
              <w:tblLook w:val="04A0"/>
            </w:tblPr>
            <w:tblGrid>
              <w:gridCol w:w="2727"/>
              <w:gridCol w:w="2338"/>
              <w:gridCol w:w="2534"/>
              <w:gridCol w:w="2534"/>
            </w:tblGrid>
            <w:tr w:rsidR="00000851" w:rsidRPr="00384EB6" w:rsidTr="0046717C">
              <w:trPr>
                <w:trHeight w:val="472"/>
              </w:trPr>
              <w:tc>
                <w:tcPr>
                  <w:tcW w:w="2727" w:type="dxa"/>
                </w:tcPr>
                <w:p w:rsidR="00000851" w:rsidRPr="00384EB6" w:rsidRDefault="00000851" w:rsidP="00744F9A">
                  <w:pPr>
                    <w:contextualSpacing/>
                    <w:rPr>
                      <w:lang w:val="en-CA"/>
                    </w:rPr>
                  </w:pPr>
                </w:p>
              </w:tc>
              <w:tc>
                <w:tcPr>
                  <w:tcW w:w="2338" w:type="dxa"/>
                </w:tcPr>
                <w:p w:rsidR="00000851" w:rsidRPr="00384EB6" w:rsidRDefault="00000851" w:rsidP="001E329B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  <w:lang w:val="en-CA"/>
                    </w:rPr>
                  </w:pPr>
                  <w:r w:rsidRPr="00384EB6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val="en-CA"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000851" w:rsidRPr="00384EB6" w:rsidRDefault="00000851" w:rsidP="001E329B">
                  <w:pPr>
                    <w:contextualSpacing/>
                    <w:jc w:val="center"/>
                    <w:rPr>
                      <w:b/>
                      <w:color w:val="E2AC00"/>
                      <w:sz w:val="24"/>
                      <w:szCs w:val="24"/>
                      <w:lang w:val="en-CA"/>
                    </w:rPr>
                  </w:pPr>
                  <w:r w:rsidRPr="00384EB6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val="en-CA" w:eastAsia="en-CA"/>
                    </w:rPr>
                    <w:t>In-game</w:t>
                  </w:r>
                </w:p>
              </w:tc>
              <w:tc>
                <w:tcPr>
                  <w:tcW w:w="2534" w:type="dxa"/>
                </w:tcPr>
                <w:p w:rsidR="00000851" w:rsidRPr="00384EB6" w:rsidRDefault="00000851" w:rsidP="001E329B">
                  <w:pPr>
                    <w:contextualSpacing/>
                    <w:jc w:val="center"/>
                    <w:rPr>
                      <w:b/>
                      <w:color w:val="0070C0"/>
                      <w:sz w:val="24"/>
                      <w:szCs w:val="24"/>
                      <w:lang w:val="en-CA"/>
                    </w:rPr>
                  </w:pPr>
                  <w:r w:rsidRPr="00384EB6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val="en-CA" w:eastAsia="en-CA"/>
                    </w:rPr>
                    <w:t xml:space="preserve">Off-game </w:t>
                  </w:r>
                </w:p>
              </w:tc>
            </w:tr>
            <w:tr w:rsidR="0084181F" w:rsidRPr="00384EB6" w:rsidTr="0046717C">
              <w:trPr>
                <w:trHeight w:val="438"/>
              </w:trPr>
              <w:tc>
                <w:tcPr>
                  <w:tcW w:w="2727" w:type="dxa"/>
                </w:tcPr>
                <w:p w:rsidR="0084181F" w:rsidRPr="00384EB6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384EB6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Graphical materials</w:t>
                  </w:r>
                </w:p>
              </w:tc>
              <w:tc>
                <w:tcPr>
                  <w:tcW w:w="2338" w:type="dxa"/>
                </w:tcPr>
                <w:p w:rsidR="0084181F" w:rsidRPr="00384EB6" w:rsidRDefault="00F90AD1" w:rsidP="00744F9A">
                  <w:pPr>
                    <w:contextualSpacing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Pre-rendered 3D</w:t>
                  </w:r>
                </w:p>
              </w:tc>
              <w:tc>
                <w:tcPr>
                  <w:tcW w:w="2534" w:type="dxa"/>
                </w:tcPr>
                <w:p w:rsidR="0084181F" w:rsidRPr="00384EB6" w:rsidRDefault="00F113F3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Pre-rendered 3D</w:t>
                  </w:r>
                </w:p>
              </w:tc>
              <w:tc>
                <w:tcPr>
                  <w:tcW w:w="2534" w:type="dxa"/>
                </w:tcPr>
                <w:p w:rsidR="0084181F" w:rsidRPr="00384EB6" w:rsidRDefault="00F90AD1" w:rsidP="00F90AD1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None (intangible space)</w:t>
                  </w:r>
                </w:p>
              </w:tc>
            </w:tr>
            <w:tr w:rsidR="0084181F" w:rsidRPr="00384EB6" w:rsidTr="0046717C">
              <w:trPr>
                <w:trHeight w:val="416"/>
              </w:trPr>
              <w:tc>
                <w:tcPr>
                  <w:tcW w:w="2727" w:type="dxa"/>
                </w:tcPr>
                <w:p w:rsidR="0084181F" w:rsidRPr="00384EB6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384EB6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84181F" w:rsidRPr="00384EB6" w:rsidRDefault="009662A2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Axonometric</w:t>
                  </w:r>
                </w:p>
              </w:tc>
              <w:tc>
                <w:tcPr>
                  <w:tcW w:w="2534" w:type="dxa"/>
                </w:tcPr>
                <w:p w:rsidR="0084181F" w:rsidRPr="00384EB6" w:rsidRDefault="009662A2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Axonometric</w:t>
                  </w:r>
                </w:p>
              </w:tc>
              <w:tc>
                <w:tcPr>
                  <w:tcW w:w="2534" w:type="dxa"/>
                </w:tcPr>
                <w:p w:rsidR="0084181F" w:rsidRPr="00384EB6" w:rsidRDefault="00F90AD1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None (intangible space)</w:t>
                  </w:r>
                </w:p>
              </w:tc>
            </w:tr>
            <w:tr w:rsidR="0084181F" w:rsidRPr="00384EB6" w:rsidTr="0046717C">
              <w:trPr>
                <w:trHeight w:val="408"/>
              </w:trPr>
              <w:tc>
                <w:tcPr>
                  <w:tcW w:w="2727" w:type="dxa"/>
                </w:tcPr>
                <w:p w:rsidR="0084181F" w:rsidRPr="00384EB6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384EB6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84181F" w:rsidRPr="00384EB6" w:rsidRDefault="009662A2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¾ View</w:t>
                  </w:r>
                </w:p>
              </w:tc>
              <w:tc>
                <w:tcPr>
                  <w:tcW w:w="2534" w:type="dxa"/>
                </w:tcPr>
                <w:p w:rsidR="0084181F" w:rsidRPr="00384EB6" w:rsidRDefault="009662A2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¾ View</w:t>
                  </w:r>
                </w:p>
              </w:tc>
              <w:tc>
                <w:tcPr>
                  <w:tcW w:w="2534" w:type="dxa"/>
                </w:tcPr>
                <w:p w:rsidR="0084181F" w:rsidRPr="00384EB6" w:rsidRDefault="00F90AD1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None (intangible space)</w:t>
                  </w:r>
                </w:p>
              </w:tc>
            </w:tr>
          </w:tbl>
          <w:p w:rsidR="0084181F" w:rsidRPr="00384EB6" w:rsidRDefault="0084181F" w:rsidP="00744F9A">
            <w:pPr>
              <w:contextualSpacing/>
              <w:rPr>
                <w:lang w:val="en-CA"/>
              </w:rPr>
            </w:pPr>
          </w:p>
        </w:tc>
      </w:tr>
    </w:tbl>
    <w:p w:rsidR="00D72CED" w:rsidRPr="00384EB6" w:rsidRDefault="00D72CED" w:rsidP="00D72CED">
      <w:pPr>
        <w:spacing w:line="240" w:lineRule="auto"/>
        <w:ind w:left="-426"/>
        <w:contextualSpacing/>
        <w:jc w:val="both"/>
        <w:rPr>
          <w:lang w:val="en-CA"/>
        </w:rPr>
        <w:sectPr w:rsidR="00D72CED" w:rsidRPr="00384EB6" w:rsidSect="0070165F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5C5EF7" w:rsidRPr="00384EB6" w:rsidRDefault="005C5EF7" w:rsidP="00D72CED">
      <w:pPr>
        <w:spacing w:line="240" w:lineRule="auto"/>
        <w:contextualSpacing/>
        <w:rPr>
          <w:lang w:val="en-CA"/>
        </w:rPr>
        <w:sectPr w:rsidR="005C5EF7" w:rsidRPr="00384EB6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589" w:tblpY="10201"/>
        <w:tblW w:w="4893" w:type="dxa"/>
        <w:tblLook w:val="04A0"/>
      </w:tblPr>
      <w:tblGrid>
        <w:gridCol w:w="4893"/>
      </w:tblGrid>
      <w:tr w:rsidR="002936AB" w:rsidRPr="00384EB6" w:rsidTr="007F0538">
        <w:trPr>
          <w:trHeight w:val="5240"/>
        </w:trPr>
        <w:tc>
          <w:tcPr>
            <w:tcW w:w="4893" w:type="dxa"/>
          </w:tcPr>
          <w:p w:rsidR="002936AB" w:rsidRPr="00384EB6" w:rsidRDefault="00CA5FD4" w:rsidP="007F0538">
            <w:pPr>
              <w:contextualSpacing/>
              <w:rPr>
                <w:lang w:val="en-CA"/>
              </w:rPr>
            </w:pPr>
            <w:r w:rsidRPr="00384EB6">
              <w:rPr>
                <w:b/>
                <w:sz w:val="24"/>
                <w:szCs w:val="24"/>
                <w:lang w:val="en-CA"/>
              </w:rPr>
              <w:t>Notes:</w:t>
            </w:r>
            <w:r w:rsidR="002936AB" w:rsidRPr="00384EB6">
              <w:rPr>
                <w:lang w:val="en-CA"/>
              </w:rPr>
              <w:t xml:space="preserve"> </w:t>
            </w:r>
            <w:r w:rsidR="002936AB" w:rsidRPr="00384EB6">
              <w:rPr>
                <w:lang w:val="en-CA"/>
              </w:rPr>
              <w:br/>
              <w:t xml:space="preserve">Interesting </w:t>
            </w:r>
            <w:r w:rsidR="00065B31">
              <w:rPr>
                <w:lang w:val="en-CA"/>
              </w:rPr>
              <w:t>and more complex to</w:t>
            </w:r>
            <w:r w:rsidR="000E0994">
              <w:rPr>
                <w:lang w:val="en-CA"/>
              </w:rPr>
              <w:t xml:space="preserve"> describe </w:t>
            </w:r>
            <w:r w:rsidR="00065B31">
              <w:rPr>
                <w:lang w:val="en-CA"/>
              </w:rPr>
              <w:t xml:space="preserve">than to play, the hack n’ slash genre blends tangible </w:t>
            </w:r>
            <w:r w:rsidR="000E0994">
              <w:rPr>
                <w:lang w:val="en-CA"/>
              </w:rPr>
              <w:t>fast-pace</w:t>
            </w:r>
            <w:r w:rsidR="004F372E">
              <w:rPr>
                <w:lang w:val="en-CA"/>
              </w:rPr>
              <w:t>d</w:t>
            </w:r>
            <w:r w:rsidR="00065B31">
              <w:rPr>
                <w:lang w:val="en-CA"/>
              </w:rPr>
              <w:t xml:space="preserve"> action and </w:t>
            </w:r>
            <w:r w:rsidR="00837DCD">
              <w:rPr>
                <w:lang w:val="en-CA"/>
              </w:rPr>
              <w:t>a quite external</w:t>
            </w:r>
            <w:r w:rsidR="00065B31">
              <w:rPr>
                <w:lang w:val="en-CA"/>
              </w:rPr>
              <w:t xml:space="preserve"> managerial stance</w:t>
            </w:r>
            <w:r w:rsidR="002936AB" w:rsidRPr="00384EB6">
              <w:rPr>
                <w:lang w:val="en-CA"/>
              </w:rPr>
              <w:t xml:space="preserve">. </w:t>
            </w:r>
            <w:r w:rsidR="002936AB" w:rsidRPr="00384EB6">
              <w:rPr>
                <w:i/>
                <w:lang w:val="en-CA"/>
              </w:rPr>
              <w:t>Diablo</w:t>
            </w:r>
            <w:r w:rsidR="004F372E">
              <w:rPr>
                <w:lang w:val="en-CA"/>
              </w:rPr>
              <w:t xml:space="preserve"> makes </w:t>
            </w:r>
            <w:r w:rsidR="002936AB" w:rsidRPr="00384EB6">
              <w:rPr>
                <w:lang w:val="en-CA"/>
              </w:rPr>
              <w:t xml:space="preserve">heavy use of mimetic ornaments in what seems like an attempt to inject tangibility into the game interface. </w:t>
            </w:r>
            <w:r w:rsidR="000E0994">
              <w:rPr>
                <w:lang w:val="en-CA"/>
              </w:rPr>
              <w:t xml:space="preserve"> Although part of the intangible space, Mana and Health update in real time and are very ostentatious before the player’s attention, creating some sort </w:t>
            </w:r>
            <w:r w:rsidR="004F372E">
              <w:rPr>
                <w:lang w:val="en-CA"/>
              </w:rPr>
              <w:t xml:space="preserve">of </w:t>
            </w:r>
            <w:r w:rsidR="000E0994">
              <w:rPr>
                <w:lang w:val="en-CA"/>
              </w:rPr>
              <w:t>cognitive continuity from the immediate action to the more intangible menus</w:t>
            </w:r>
            <w:r w:rsidR="008B47C9">
              <w:rPr>
                <w:lang w:val="en-CA"/>
              </w:rPr>
              <w:t xml:space="preserve"> (</w:t>
            </w:r>
            <w:r w:rsidR="00837DCD">
              <w:rPr>
                <w:lang w:val="en-CA"/>
              </w:rPr>
              <w:t>t</w:t>
            </w:r>
            <w:r w:rsidR="009662A2">
              <w:rPr>
                <w:lang w:val="en-CA"/>
              </w:rPr>
              <w:t>h</w:t>
            </w:r>
            <w:r w:rsidR="00344F56">
              <w:rPr>
                <w:lang w:val="en-CA"/>
              </w:rPr>
              <w:t>at</w:t>
            </w:r>
            <w:r w:rsidR="009662A2">
              <w:rPr>
                <w:lang w:val="en-CA"/>
              </w:rPr>
              <w:t xml:space="preserve"> are</w:t>
            </w:r>
            <w:r w:rsidR="00837DCD">
              <w:rPr>
                <w:lang w:val="en-CA"/>
              </w:rPr>
              <w:t xml:space="preserve"> arguably</w:t>
            </w:r>
            <w:r w:rsidR="009662A2">
              <w:rPr>
                <w:lang w:val="en-CA"/>
              </w:rPr>
              <w:t xml:space="preserve"> more mimetic than the tangible space</w:t>
            </w:r>
            <w:r w:rsidR="008B47C9">
              <w:rPr>
                <w:lang w:val="en-CA"/>
              </w:rPr>
              <w:t>)</w:t>
            </w:r>
            <w:r w:rsidR="009662A2">
              <w:rPr>
                <w:lang w:val="en-CA"/>
              </w:rPr>
              <w:t>.</w:t>
            </w:r>
            <w:r w:rsidR="000E0994">
              <w:rPr>
                <w:lang w:val="en-CA"/>
              </w:rPr>
              <w:t xml:space="preserve">  </w:t>
            </w:r>
            <w:r w:rsidR="004F372E">
              <w:rPr>
                <w:lang w:val="en-CA"/>
              </w:rPr>
              <w:t xml:space="preserve">The game </w:t>
            </w:r>
            <w:r w:rsidR="002936AB" w:rsidRPr="00384EB6">
              <w:rPr>
                <w:lang w:val="en-CA"/>
              </w:rPr>
              <w:t>affords an assessment of tangibility on a spectrum</w:t>
            </w:r>
            <w:r w:rsidR="004F372E">
              <w:rPr>
                <w:lang w:val="en-CA"/>
              </w:rPr>
              <w:t>,</w:t>
            </w:r>
            <w:r w:rsidR="002936AB" w:rsidRPr="00384EB6">
              <w:rPr>
                <w:lang w:val="en-CA"/>
              </w:rPr>
              <w:t xml:space="preserve"> instead of a binary distinction.</w:t>
            </w:r>
            <w:r w:rsidR="000E0994">
              <w:rPr>
                <w:lang w:val="en-CA"/>
              </w:rPr>
              <w:t xml:space="preserve"> </w:t>
            </w:r>
            <w:r w:rsidR="009662A2">
              <w:rPr>
                <w:lang w:val="en-CA"/>
              </w:rPr>
              <w:t>Moreover, reinforcing</w:t>
            </w:r>
            <w:r w:rsidR="000E0994">
              <w:rPr>
                <w:lang w:val="en-CA"/>
              </w:rPr>
              <w:t xml:space="preserve"> the </w:t>
            </w:r>
            <w:r w:rsidR="009662A2">
              <w:rPr>
                <w:lang w:val="en-CA"/>
              </w:rPr>
              <w:t>weight</w:t>
            </w:r>
            <w:r w:rsidR="000E0994">
              <w:rPr>
                <w:lang w:val="en-CA"/>
              </w:rPr>
              <w:t xml:space="preserve"> of intangible information, the visual space is saturated with mimetic </w:t>
            </w:r>
            <w:r w:rsidR="00F113F3">
              <w:rPr>
                <w:lang w:val="en-CA"/>
              </w:rPr>
              <w:t>icons</w:t>
            </w:r>
            <w:r w:rsidR="008B47C9">
              <w:rPr>
                <w:lang w:val="en-CA"/>
              </w:rPr>
              <w:t>.</w:t>
            </w:r>
            <w:r w:rsidR="00F113F3">
              <w:rPr>
                <w:lang w:val="en-CA"/>
              </w:rPr>
              <w:t xml:space="preserve"> </w:t>
            </w:r>
            <w:r w:rsidR="008B47C9">
              <w:rPr>
                <w:lang w:val="en-CA"/>
              </w:rPr>
              <w:t>Represented items</w:t>
            </w:r>
            <w:r w:rsidR="00F113F3">
              <w:rPr>
                <w:lang w:val="en-CA"/>
              </w:rPr>
              <w:t xml:space="preserve"> require</w:t>
            </w:r>
            <w:r w:rsidR="000E0994">
              <w:rPr>
                <w:lang w:val="en-CA"/>
              </w:rPr>
              <w:t xml:space="preserve"> selection to display </w:t>
            </w:r>
            <w:r w:rsidR="00837DCD">
              <w:rPr>
                <w:lang w:val="en-CA"/>
              </w:rPr>
              <w:t>text information</w:t>
            </w:r>
            <w:r w:rsidR="000E0994">
              <w:rPr>
                <w:lang w:val="en-CA"/>
              </w:rPr>
              <w:t xml:space="preserve">, giving </w:t>
            </w:r>
            <w:r w:rsidR="00837DCD">
              <w:rPr>
                <w:lang w:val="en-CA"/>
              </w:rPr>
              <w:t>inventory</w:t>
            </w:r>
            <w:r w:rsidR="000E0994">
              <w:rPr>
                <w:lang w:val="en-CA"/>
              </w:rPr>
              <w:t xml:space="preserve"> </w:t>
            </w:r>
            <w:r w:rsidR="00837DCD">
              <w:rPr>
                <w:lang w:val="en-CA"/>
              </w:rPr>
              <w:t>management</w:t>
            </w:r>
            <w:r w:rsidR="00C85D9B">
              <w:rPr>
                <w:lang w:val="en-CA"/>
              </w:rPr>
              <w:t xml:space="preserve"> an </w:t>
            </w:r>
            <w:bookmarkStart w:id="0" w:name="_GoBack"/>
            <w:bookmarkEnd w:id="0"/>
            <w:r w:rsidR="008B47C9">
              <w:rPr>
                <w:lang w:val="en-CA"/>
              </w:rPr>
              <w:t xml:space="preserve">almost </w:t>
            </w:r>
            <w:r w:rsidR="0096225B">
              <w:rPr>
                <w:lang w:val="en-CA"/>
              </w:rPr>
              <w:t xml:space="preserve">tactile </w:t>
            </w:r>
            <w:r w:rsidR="000E0994">
              <w:rPr>
                <w:lang w:val="en-CA"/>
              </w:rPr>
              <w:t>quality</w:t>
            </w:r>
            <w:r w:rsidR="00532AF2">
              <w:rPr>
                <w:lang w:val="en-CA"/>
              </w:rPr>
              <w:t xml:space="preserve"> (unlike 1990’s JRPG menus)</w:t>
            </w:r>
            <w:r w:rsidR="009662A2">
              <w:rPr>
                <w:lang w:val="en-CA"/>
              </w:rPr>
              <w:t>.</w:t>
            </w:r>
          </w:p>
        </w:tc>
      </w:tr>
    </w:tbl>
    <w:p w:rsidR="00EF1011" w:rsidRPr="00384EB6" w:rsidRDefault="000E0994" w:rsidP="00F90AD1">
      <w:pPr>
        <w:spacing w:line="240" w:lineRule="auto"/>
        <w:ind w:left="-426"/>
        <w:contextualSpacing/>
        <w:rPr>
          <w:lang w:val="en-CA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390900" cy="250631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86" cy="25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011" w:rsidRPr="00384EB6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29" w:rsidRDefault="004F5B29" w:rsidP="00A81AA7">
      <w:pPr>
        <w:spacing w:after="0" w:line="240" w:lineRule="auto"/>
      </w:pPr>
      <w:r>
        <w:separator/>
      </w:r>
    </w:p>
  </w:endnote>
  <w:endnote w:type="continuationSeparator" w:id="0">
    <w:p w:rsidR="004F5B29" w:rsidRDefault="004F5B29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29" w:rsidRDefault="004F5B29" w:rsidP="00A81AA7">
      <w:pPr>
        <w:spacing w:after="0" w:line="240" w:lineRule="auto"/>
      </w:pPr>
      <w:r>
        <w:separator/>
      </w:r>
    </w:p>
  </w:footnote>
  <w:footnote w:type="continuationSeparator" w:id="0">
    <w:p w:rsidR="004F5B29" w:rsidRDefault="004F5B29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A7" w:rsidRPr="00A81AA7" w:rsidRDefault="00A1455D">
    <w:pPr>
      <w:pStyle w:val="Header"/>
      <w:rPr>
        <w:lang w:val="en-CA"/>
      </w:rPr>
    </w:pPr>
    <w:r>
      <w:rPr>
        <w:lang w:val="en-CA"/>
      </w:rPr>
      <w:t xml:space="preserve">Pierre-Marc </w:t>
    </w:r>
    <w:proofErr w:type="spellStart"/>
    <w:r>
      <w:rPr>
        <w:lang w:val="en-CA"/>
      </w:rPr>
      <w:t>Côté</w:t>
    </w:r>
    <w:proofErr w:type="spellEnd"/>
    <w:r w:rsidR="00A81AA7">
      <w:rPr>
        <w:lang w:val="en-CA"/>
      </w:rPr>
      <w:tab/>
    </w:r>
    <w:r w:rsidR="00B5487E">
      <w:rPr>
        <w:lang w:val="en-CA"/>
      </w:rPr>
      <w:t xml:space="preserve">The </w:t>
    </w:r>
    <w:r w:rsidR="004F372E">
      <w:rPr>
        <w:lang w:val="en-CA"/>
      </w:rPr>
      <w:t xml:space="preserve">Game </w:t>
    </w:r>
    <w:r w:rsidR="00B5487E">
      <w:rPr>
        <w:lang w:val="en-CA"/>
      </w:rPr>
      <w:t>FAVR</w:t>
    </w:r>
    <w:r w:rsidR="00A81AA7">
      <w:rPr>
        <w:lang w:val="en-CA"/>
      </w:rPr>
      <w:tab/>
    </w:r>
    <w:r w:rsidR="00B5487E">
      <w:rPr>
        <w:lang w:val="en-CA"/>
      </w:rPr>
      <w:t xml:space="preserve">sample case </w:t>
    </w:r>
    <w:r w:rsidR="00047603">
      <w:rPr>
        <w:lang w:val="en-CA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011"/>
    <w:rsid w:val="00000851"/>
    <w:rsid w:val="00043747"/>
    <w:rsid w:val="00047603"/>
    <w:rsid w:val="00065B31"/>
    <w:rsid w:val="00073F2B"/>
    <w:rsid w:val="000B479C"/>
    <w:rsid w:val="000C3AFD"/>
    <w:rsid w:val="000E0994"/>
    <w:rsid w:val="00107890"/>
    <w:rsid w:val="00107BFB"/>
    <w:rsid w:val="00192CE5"/>
    <w:rsid w:val="001D365F"/>
    <w:rsid w:val="001F0ACB"/>
    <w:rsid w:val="001F76B8"/>
    <w:rsid w:val="00213571"/>
    <w:rsid w:val="00247F27"/>
    <w:rsid w:val="00252A90"/>
    <w:rsid w:val="00274A9F"/>
    <w:rsid w:val="00286166"/>
    <w:rsid w:val="002936AB"/>
    <w:rsid w:val="002E4E45"/>
    <w:rsid w:val="003400FA"/>
    <w:rsid w:val="00344F56"/>
    <w:rsid w:val="0037102C"/>
    <w:rsid w:val="00384EB6"/>
    <w:rsid w:val="003A76E2"/>
    <w:rsid w:val="003D25F3"/>
    <w:rsid w:val="00443E2B"/>
    <w:rsid w:val="0046717C"/>
    <w:rsid w:val="00493A81"/>
    <w:rsid w:val="00497311"/>
    <w:rsid w:val="004F372E"/>
    <w:rsid w:val="004F5B29"/>
    <w:rsid w:val="004F722D"/>
    <w:rsid w:val="00504306"/>
    <w:rsid w:val="00532AF2"/>
    <w:rsid w:val="00553013"/>
    <w:rsid w:val="005C5EF7"/>
    <w:rsid w:val="005D0BA2"/>
    <w:rsid w:val="005F610E"/>
    <w:rsid w:val="006171D1"/>
    <w:rsid w:val="00635A4D"/>
    <w:rsid w:val="006431BF"/>
    <w:rsid w:val="00646C92"/>
    <w:rsid w:val="00690EEC"/>
    <w:rsid w:val="006B66C8"/>
    <w:rsid w:val="006C7D4D"/>
    <w:rsid w:val="0070165F"/>
    <w:rsid w:val="00726C52"/>
    <w:rsid w:val="00744F9A"/>
    <w:rsid w:val="007B2925"/>
    <w:rsid w:val="007F0538"/>
    <w:rsid w:val="00836872"/>
    <w:rsid w:val="00837BFB"/>
    <w:rsid w:val="00837DCD"/>
    <w:rsid w:val="0084181F"/>
    <w:rsid w:val="008B47C9"/>
    <w:rsid w:val="008C65BB"/>
    <w:rsid w:val="008D13CA"/>
    <w:rsid w:val="00924B6D"/>
    <w:rsid w:val="009602E6"/>
    <w:rsid w:val="0096225B"/>
    <w:rsid w:val="00965A9B"/>
    <w:rsid w:val="009662A2"/>
    <w:rsid w:val="00993EC3"/>
    <w:rsid w:val="009A0363"/>
    <w:rsid w:val="00A04626"/>
    <w:rsid w:val="00A1455D"/>
    <w:rsid w:val="00A22796"/>
    <w:rsid w:val="00A57FA0"/>
    <w:rsid w:val="00A81AA7"/>
    <w:rsid w:val="00B5487E"/>
    <w:rsid w:val="00B77404"/>
    <w:rsid w:val="00B81E5F"/>
    <w:rsid w:val="00BC0B21"/>
    <w:rsid w:val="00BD261D"/>
    <w:rsid w:val="00BF6FED"/>
    <w:rsid w:val="00C85D9B"/>
    <w:rsid w:val="00C92598"/>
    <w:rsid w:val="00CA5FD4"/>
    <w:rsid w:val="00CF2D79"/>
    <w:rsid w:val="00D511B3"/>
    <w:rsid w:val="00D72CED"/>
    <w:rsid w:val="00D75F52"/>
    <w:rsid w:val="00DE6EFA"/>
    <w:rsid w:val="00DF284A"/>
    <w:rsid w:val="00E12709"/>
    <w:rsid w:val="00E72143"/>
    <w:rsid w:val="00ED3AA1"/>
    <w:rsid w:val="00EF1011"/>
    <w:rsid w:val="00F113F3"/>
    <w:rsid w:val="00F82497"/>
    <w:rsid w:val="00F90AD1"/>
    <w:rsid w:val="00FE7003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2"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2015-10-19T15:31:00Z</dcterms:created>
  <dcterms:modified xsi:type="dcterms:W3CDTF">2015-10-26T23:55:00Z</dcterms:modified>
</cp:coreProperties>
</file>